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69E8108" w:rsidR="0047408E" w:rsidRPr="004B6F45" w:rsidRDefault="008C4C86" w:rsidP="0047408E">
      <w:pPr>
        <w:pStyle w:val="Header"/>
        <w:tabs>
          <w:tab w:val="right" w:pos="9639"/>
        </w:tabs>
        <w:overflowPunct w:val="0"/>
        <w:autoSpaceDE w:val="0"/>
        <w:autoSpaceDN w:val="0"/>
        <w:adjustRightInd w:val="0"/>
        <w:textAlignment w:val="baseline"/>
        <w:rPr>
          <w:b w:val="0"/>
          <w:bCs/>
          <w:sz w:val="24"/>
          <w:szCs w:val="24"/>
          <w:lang w:eastAsia="ja-JP"/>
        </w:rPr>
      </w:pPr>
      <w:r>
        <w:rPr>
          <w:bCs/>
          <w:sz w:val="24"/>
          <w:szCs w:val="24"/>
          <w:lang w:eastAsia="ja-JP"/>
        </w:rPr>
        <w:t>3GPP TSG-RAN WG2 Meeting #10</w:t>
      </w:r>
      <w:r w:rsidR="004D24A1">
        <w:rPr>
          <w:bCs/>
          <w:sz w:val="24"/>
          <w:szCs w:val="24"/>
          <w:lang w:eastAsia="ja-JP"/>
        </w:rPr>
        <w:t>8</w:t>
      </w:r>
      <w:r w:rsidR="00F953D1">
        <w:rPr>
          <w:bCs/>
          <w:sz w:val="24"/>
          <w:szCs w:val="24"/>
          <w:lang w:eastAsia="ja-JP"/>
        </w:rPr>
        <w:t xml:space="preserve">                            </w:t>
      </w:r>
      <w:r w:rsidR="00196248">
        <w:rPr>
          <w:bCs/>
          <w:sz w:val="24"/>
          <w:szCs w:val="24"/>
          <w:lang w:eastAsia="ja-JP"/>
        </w:rPr>
        <w:t xml:space="preserve">                     </w:t>
      </w:r>
      <w:r w:rsidR="00F34C0A">
        <w:rPr>
          <w:bCs/>
          <w:sz w:val="24"/>
          <w:szCs w:val="24"/>
          <w:lang w:eastAsia="ja-JP"/>
        </w:rPr>
        <w:t xml:space="preserve">    </w:t>
      </w:r>
      <w:r w:rsidR="00854D3C" w:rsidRPr="00854D3C">
        <w:rPr>
          <w:bCs/>
          <w:sz w:val="24"/>
          <w:szCs w:val="24"/>
          <w:lang w:eastAsia="ja-JP"/>
        </w:rPr>
        <w:t>R2-19</w:t>
      </w:r>
      <w:r w:rsidR="0037303C">
        <w:rPr>
          <w:bCs/>
          <w:sz w:val="24"/>
          <w:szCs w:val="24"/>
          <w:lang w:eastAsia="ja-JP"/>
        </w:rPr>
        <w:t>16114</w:t>
      </w:r>
      <w:bookmarkStart w:id="0" w:name="_GoBack"/>
      <w:bookmarkEnd w:id="0"/>
    </w:p>
    <w:p w14:paraId="29CDF947" w14:textId="67977A1B" w:rsidR="0047408E" w:rsidRDefault="004D24A1" w:rsidP="0047408E">
      <w:pPr>
        <w:pStyle w:val="Header"/>
        <w:tabs>
          <w:tab w:val="right" w:pos="9639"/>
        </w:tabs>
        <w:overflowPunct w:val="0"/>
        <w:autoSpaceDE w:val="0"/>
        <w:autoSpaceDN w:val="0"/>
        <w:adjustRightInd w:val="0"/>
        <w:textAlignment w:val="baseline"/>
        <w:rPr>
          <w:bCs/>
          <w:sz w:val="24"/>
          <w:szCs w:val="24"/>
          <w:lang w:eastAsia="ja-JP"/>
        </w:rPr>
      </w:pPr>
      <w:r>
        <w:rPr>
          <w:sz w:val="24"/>
          <w:szCs w:val="24"/>
        </w:rPr>
        <w:t>Reno</w:t>
      </w:r>
      <w:r w:rsidR="00363E1E">
        <w:rPr>
          <w:sz w:val="24"/>
          <w:szCs w:val="24"/>
        </w:rPr>
        <w:t xml:space="preserve">, </w:t>
      </w:r>
      <w:r>
        <w:rPr>
          <w:sz w:val="24"/>
          <w:szCs w:val="24"/>
        </w:rPr>
        <w:t>USA</w:t>
      </w:r>
      <w:r w:rsidR="00363E1E">
        <w:rPr>
          <w:b w:val="0"/>
          <w:sz w:val="24"/>
          <w:szCs w:val="24"/>
        </w:rPr>
        <w:t xml:space="preserve">, </w:t>
      </w:r>
      <w:r w:rsidR="00196248">
        <w:rPr>
          <w:sz w:val="24"/>
          <w:szCs w:val="24"/>
        </w:rPr>
        <w:t>1</w:t>
      </w:r>
      <w:r>
        <w:rPr>
          <w:sz w:val="24"/>
          <w:szCs w:val="24"/>
        </w:rPr>
        <w:t>8</w:t>
      </w:r>
      <w:r w:rsidR="00363E1E" w:rsidRPr="00A639C8">
        <w:rPr>
          <w:b w:val="0"/>
          <w:sz w:val="24"/>
          <w:szCs w:val="24"/>
          <w:vertAlign w:val="superscript"/>
        </w:rPr>
        <w:t>th</w:t>
      </w:r>
      <w:r w:rsidR="00363E1E">
        <w:rPr>
          <w:b w:val="0"/>
          <w:sz w:val="24"/>
          <w:szCs w:val="24"/>
        </w:rPr>
        <w:t xml:space="preserve"> </w:t>
      </w:r>
      <w:r>
        <w:rPr>
          <w:sz w:val="24"/>
          <w:szCs w:val="24"/>
        </w:rPr>
        <w:t>Nov</w:t>
      </w:r>
      <w:r w:rsidR="00363E1E">
        <w:rPr>
          <w:sz w:val="24"/>
          <w:szCs w:val="24"/>
        </w:rPr>
        <w:t xml:space="preserve"> – </w:t>
      </w:r>
      <w:r>
        <w:rPr>
          <w:sz w:val="24"/>
          <w:szCs w:val="24"/>
        </w:rPr>
        <w:t>22</w:t>
      </w:r>
      <w:r>
        <w:rPr>
          <w:b w:val="0"/>
          <w:sz w:val="24"/>
          <w:szCs w:val="24"/>
          <w:vertAlign w:val="superscript"/>
        </w:rPr>
        <w:t>nd</w:t>
      </w:r>
      <w:r w:rsidR="00363E1E">
        <w:rPr>
          <w:b w:val="0"/>
          <w:sz w:val="24"/>
          <w:szCs w:val="24"/>
        </w:rPr>
        <w:t xml:space="preserve"> </w:t>
      </w:r>
      <w:r>
        <w:rPr>
          <w:sz w:val="24"/>
          <w:szCs w:val="24"/>
        </w:rPr>
        <w:t>Nov</w:t>
      </w:r>
      <w:r w:rsidR="00363E1E" w:rsidRPr="009E4773">
        <w:rPr>
          <w:sz w:val="24"/>
          <w:szCs w:val="24"/>
        </w:rPr>
        <w:t xml:space="preserve"> </w:t>
      </w:r>
      <w:r w:rsidR="00363E1E">
        <w:rPr>
          <w:sz w:val="24"/>
          <w:szCs w:val="24"/>
        </w:rPr>
        <w:t>2019</w:t>
      </w:r>
      <w:r w:rsidR="00856A27">
        <w:rPr>
          <w:sz w:val="24"/>
          <w:szCs w:val="24"/>
        </w:rPr>
        <w:t xml:space="preserve"> </w:t>
      </w:r>
      <w:r w:rsidR="00856A27">
        <w:rPr>
          <w:sz w:val="24"/>
          <w:szCs w:val="24"/>
        </w:rPr>
        <w:tab/>
      </w:r>
      <w:r w:rsidR="00196248">
        <w:rPr>
          <w:sz w:val="24"/>
          <w:szCs w:val="24"/>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4E1B5413"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.2.</w:t>
      </w:r>
      <w:r w:rsidR="00242823">
        <w:rPr>
          <w:b/>
          <w:noProof/>
          <w:sz w:val="24"/>
        </w:rPr>
        <w:t>3</w:t>
      </w:r>
      <w:r w:rsidR="00B80A6F">
        <w:rPr>
          <w:b/>
          <w:noProof/>
          <w:sz w:val="24"/>
        </w:rPr>
        <w:t>.</w:t>
      </w:r>
      <w:r w:rsidR="00242823">
        <w:rPr>
          <w:b/>
          <w:noProof/>
          <w:sz w:val="24"/>
        </w:rPr>
        <w:t>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031419E2"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242823">
        <w:rPr>
          <w:b/>
          <w:noProof/>
          <w:sz w:val="24"/>
        </w:rPr>
        <w:t xml:space="preserve">On </w:t>
      </w:r>
      <w:r w:rsidR="009B6B86">
        <w:rPr>
          <w:b/>
          <w:noProof/>
          <w:sz w:val="24"/>
        </w:rPr>
        <w:t xml:space="preserve">Stopping of </w:t>
      </w:r>
      <w:r w:rsidR="00242823">
        <w:rPr>
          <w:b/>
          <w:noProof/>
          <w:sz w:val="24"/>
        </w:rPr>
        <w:t xml:space="preserve">Paging Monitoring for </w:t>
      </w:r>
      <w:r w:rsidR="004C1196">
        <w:rPr>
          <w:b/>
          <w:noProof/>
          <w:sz w:val="24"/>
        </w:rPr>
        <w:t>UE Energy Savings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87AAABE" w14:textId="3A262872" w:rsidR="005F5D7B" w:rsidRDefault="005F5D7B" w:rsidP="005F5D7B">
      <w:pPr>
        <w:rPr>
          <w:rFonts w:cs="Arial"/>
          <w:lang w:val="en-US"/>
        </w:rPr>
      </w:pPr>
      <w:r>
        <w:rPr>
          <w:rFonts w:cs="Arial"/>
          <w:color w:val="000000" w:themeColor="text1"/>
        </w:rPr>
        <w:t xml:space="preserve">In order to combat with the channel </w:t>
      </w:r>
      <w:r w:rsidR="00150D64">
        <w:rPr>
          <w:rFonts w:cs="Arial"/>
          <w:color w:val="000000" w:themeColor="text1"/>
        </w:rPr>
        <w:t>u</w:t>
      </w:r>
      <w:r>
        <w:rPr>
          <w:rFonts w:cs="Arial"/>
          <w:color w:val="000000" w:themeColor="text1"/>
        </w:rPr>
        <w:t xml:space="preserve">n-availability, arising from LBT failure, it was decided in </w:t>
      </w:r>
      <w:r w:rsidRPr="005F5D7B">
        <w:rPr>
          <w:rFonts w:cs="Arial"/>
          <w:color w:val="000000" w:themeColor="text1"/>
        </w:rPr>
        <w:t>RAN2#106</w:t>
      </w:r>
      <w:r>
        <w:rPr>
          <w:rFonts w:cs="Arial"/>
          <w:color w:val="000000" w:themeColor="text1"/>
        </w:rPr>
        <w:t xml:space="preserve"> and RAN2#107</w:t>
      </w:r>
      <w:r w:rsidRPr="005F5D7B">
        <w:rPr>
          <w:rFonts w:cs="Arial"/>
          <w:color w:val="000000" w:themeColor="text1"/>
        </w:rPr>
        <w:t>, that the PDCCH monitoring occasions</w:t>
      </w:r>
      <w:r w:rsidR="00150D64">
        <w:rPr>
          <w:rFonts w:cs="Arial"/>
          <w:color w:val="000000" w:themeColor="text1"/>
        </w:rPr>
        <w:t xml:space="preserve">, in NR-U, </w:t>
      </w:r>
      <w:r>
        <w:rPr>
          <w:rFonts w:cs="Arial"/>
          <w:color w:val="000000" w:themeColor="text1"/>
        </w:rPr>
        <w:t>will</w:t>
      </w:r>
      <w:r w:rsidRPr="005F5D7B">
        <w:rPr>
          <w:rFonts w:cs="Arial"/>
          <w:color w:val="000000" w:themeColor="text1"/>
        </w:rPr>
        <w:t xml:space="preserve"> be extended</w:t>
      </w:r>
      <w:r>
        <w:rPr>
          <w:rFonts w:cs="Arial"/>
          <w:color w:val="000000" w:themeColor="text1"/>
        </w:rPr>
        <w:t xml:space="preserve"> </w:t>
      </w:r>
      <w:r w:rsidR="001756FC">
        <w:rPr>
          <w:rFonts w:cs="Arial"/>
          <w:color w:val="000000" w:themeColor="text1"/>
        </w:rPr>
        <w:fldChar w:fldCharType="begin"/>
      </w:r>
      <w:r w:rsidR="001756FC">
        <w:rPr>
          <w:rFonts w:cs="Arial"/>
          <w:color w:val="000000" w:themeColor="text1"/>
        </w:rPr>
        <w:instrText xml:space="preserve"> REF _Ref24039821 \r \h </w:instrText>
      </w:r>
      <w:r w:rsidR="001756FC">
        <w:rPr>
          <w:rFonts w:cs="Arial"/>
          <w:color w:val="000000" w:themeColor="text1"/>
        </w:rPr>
      </w:r>
      <w:r w:rsidR="001756FC">
        <w:rPr>
          <w:rFonts w:cs="Arial"/>
          <w:color w:val="000000" w:themeColor="text1"/>
        </w:rPr>
        <w:fldChar w:fldCharType="separate"/>
      </w:r>
      <w:r w:rsidR="001756FC">
        <w:rPr>
          <w:rFonts w:cs="Arial"/>
          <w:color w:val="000000" w:themeColor="text1"/>
        </w:rPr>
        <w:t>[1]</w:t>
      </w:r>
      <w:r w:rsidR="001756FC">
        <w:rPr>
          <w:rFonts w:cs="Arial"/>
          <w:color w:val="000000" w:themeColor="text1"/>
        </w:rPr>
        <w:fldChar w:fldCharType="end"/>
      </w:r>
      <w:r w:rsidR="001756FC">
        <w:rPr>
          <w:rFonts w:cs="Arial"/>
          <w:color w:val="000000" w:themeColor="text1"/>
        </w:rPr>
        <w:t xml:space="preserve">, </w:t>
      </w:r>
      <w:r w:rsidR="001756FC">
        <w:rPr>
          <w:rFonts w:cs="Arial"/>
          <w:color w:val="000000" w:themeColor="text1"/>
        </w:rPr>
        <w:fldChar w:fldCharType="begin"/>
      </w:r>
      <w:r w:rsidR="001756FC">
        <w:rPr>
          <w:rFonts w:cs="Arial"/>
          <w:color w:val="000000" w:themeColor="text1"/>
        </w:rPr>
        <w:instrText xml:space="preserve"> REF _Ref24039825 \r \h </w:instrText>
      </w:r>
      <w:r w:rsidR="001756FC">
        <w:rPr>
          <w:rFonts w:cs="Arial"/>
          <w:color w:val="000000" w:themeColor="text1"/>
        </w:rPr>
      </w:r>
      <w:r w:rsidR="001756FC">
        <w:rPr>
          <w:rFonts w:cs="Arial"/>
          <w:color w:val="000000" w:themeColor="text1"/>
        </w:rPr>
        <w:fldChar w:fldCharType="separate"/>
      </w:r>
      <w:r w:rsidR="001756FC">
        <w:rPr>
          <w:rFonts w:cs="Arial"/>
          <w:color w:val="000000" w:themeColor="text1"/>
        </w:rPr>
        <w:t>[2]</w:t>
      </w:r>
      <w:r w:rsidR="001756FC">
        <w:rPr>
          <w:rFonts w:cs="Arial"/>
          <w:color w:val="000000" w:themeColor="text1"/>
        </w:rPr>
        <w:fldChar w:fldCharType="end"/>
      </w:r>
      <w:r w:rsidR="00150D64">
        <w:rPr>
          <w:rFonts w:cs="Arial"/>
          <w:color w:val="000000" w:themeColor="text1"/>
        </w:rPr>
        <w:t xml:space="preserve"> </w:t>
      </w:r>
      <w:r>
        <w:rPr>
          <w:rFonts w:cs="Arial"/>
          <w:color w:val="000000" w:themeColor="text1"/>
        </w:rPr>
        <w:t>for</w:t>
      </w:r>
      <w:r w:rsidRPr="005F5D7B">
        <w:rPr>
          <w:rFonts w:cs="Arial"/>
          <w:color w:val="000000" w:themeColor="text1"/>
        </w:rPr>
        <w:t xml:space="preserve"> provid</w:t>
      </w:r>
      <w:r>
        <w:rPr>
          <w:rFonts w:cs="Arial"/>
          <w:color w:val="000000" w:themeColor="text1"/>
        </w:rPr>
        <w:t>ing</w:t>
      </w:r>
      <w:r w:rsidRPr="005F5D7B">
        <w:rPr>
          <w:rFonts w:cs="Arial"/>
          <w:color w:val="000000" w:themeColor="text1"/>
        </w:rPr>
        <w:t xml:space="preserve"> UE</w:t>
      </w:r>
      <w:r>
        <w:rPr>
          <w:rFonts w:cs="Arial"/>
          <w:color w:val="000000" w:themeColor="text1"/>
        </w:rPr>
        <w:t>s</w:t>
      </w:r>
      <w:r w:rsidRPr="005F5D7B">
        <w:rPr>
          <w:rFonts w:cs="Arial"/>
          <w:color w:val="000000" w:themeColor="text1"/>
        </w:rPr>
        <w:t xml:space="preserve"> </w:t>
      </w:r>
      <w:r>
        <w:rPr>
          <w:rFonts w:cs="Arial"/>
          <w:color w:val="000000" w:themeColor="text1"/>
        </w:rPr>
        <w:t xml:space="preserve">with </w:t>
      </w:r>
      <w:r w:rsidRPr="005F5D7B">
        <w:rPr>
          <w:rFonts w:cs="Arial"/>
          <w:color w:val="000000" w:themeColor="text1"/>
        </w:rPr>
        <w:t>more chances to monitor the paging.</w:t>
      </w:r>
      <w:r>
        <w:rPr>
          <w:rFonts w:cs="Arial"/>
          <w:color w:val="000000" w:themeColor="text1"/>
        </w:rPr>
        <w:t xml:space="preserve"> However, extension of PDCCH monitoring occasions </w:t>
      </w:r>
      <w:r w:rsidR="00150D64">
        <w:rPr>
          <w:rFonts w:cs="Arial"/>
          <w:color w:val="000000" w:themeColor="text1"/>
        </w:rPr>
        <w:t>might</w:t>
      </w:r>
      <w:r>
        <w:rPr>
          <w:rFonts w:cs="Arial"/>
          <w:color w:val="000000" w:themeColor="text1"/>
        </w:rPr>
        <w:t xml:space="preserve"> lead to increased power consumptions in the UE. Thus, as mentioned in the agreement below, it was also agreed upon in RAN2#106 that </w:t>
      </w:r>
      <w:r w:rsidRPr="005F5D7B">
        <w:rPr>
          <w:rFonts w:cs="Arial"/>
          <w:lang w:val="en-US"/>
        </w:rPr>
        <w:t xml:space="preserve">UE is allowed to </w:t>
      </w:r>
      <w:r>
        <w:rPr>
          <w:rFonts w:cs="Arial"/>
          <w:lang w:val="en-US"/>
        </w:rPr>
        <w:t xml:space="preserve">stop the </w:t>
      </w:r>
      <w:r w:rsidRPr="005F5D7B">
        <w:rPr>
          <w:rFonts w:cs="Arial"/>
          <w:lang w:val="en-US"/>
        </w:rPr>
        <w:t>PDC</w:t>
      </w:r>
      <w:r>
        <w:rPr>
          <w:rFonts w:cs="Arial"/>
          <w:lang w:val="en-US"/>
        </w:rPr>
        <w:t>CH monitoring</w:t>
      </w:r>
      <w:r w:rsidR="00C86BF2">
        <w:rPr>
          <w:rFonts w:cs="Arial"/>
          <w:lang w:val="en-US"/>
        </w:rPr>
        <w:t xml:space="preserve">. </w:t>
      </w:r>
      <w:r w:rsidR="00C86BF2">
        <w:rPr>
          <w:rFonts w:cs="Arial"/>
          <w:lang w:val="en-US"/>
        </w:rPr>
        <w:t xml:space="preserve">Furthermore, </w:t>
      </w:r>
      <w:r w:rsidR="00C86BF2" w:rsidRPr="005F5D7B">
        <w:rPr>
          <w:rFonts w:cs="Arial"/>
          <w:lang w:val="en-US"/>
        </w:rPr>
        <w:t xml:space="preserve">in RAN2#107 meeting, </w:t>
      </w:r>
      <w:r w:rsidR="001756FC">
        <w:rPr>
          <w:rFonts w:cs="Arial"/>
          <w:lang w:val="en-US"/>
        </w:rPr>
        <w:t>an</w:t>
      </w:r>
      <w:r w:rsidR="00C86BF2" w:rsidRPr="005F5D7B">
        <w:rPr>
          <w:rFonts w:cs="Arial"/>
          <w:lang w:val="en-US"/>
        </w:rPr>
        <w:t xml:space="preserve"> LS </w:t>
      </w:r>
      <w:r w:rsidR="001756FC">
        <w:rPr>
          <w:rFonts w:cs="Arial"/>
          <w:lang w:val="en-US"/>
        </w:rPr>
        <w:fldChar w:fldCharType="begin"/>
      </w:r>
      <w:r w:rsidR="001756FC">
        <w:rPr>
          <w:rFonts w:cs="Arial"/>
          <w:lang w:val="en-US"/>
        </w:rPr>
        <w:instrText xml:space="preserve"> REF _Ref24039854 \r \h </w:instrText>
      </w:r>
      <w:r w:rsidR="001756FC">
        <w:rPr>
          <w:rFonts w:cs="Arial"/>
          <w:lang w:val="en-US"/>
        </w:rPr>
      </w:r>
      <w:r w:rsidR="001756FC">
        <w:rPr>
          <w:rFonts w:cs="Arial"/>
          <w:lang w:val="en-US"/>
        </w:rPr>
        <w:fldChar w:fldCharType="separate"/>
      </w:r>
      <w:r w:rsidR="001756FC">
        <w:rPr>
          <w:rFonts w:cs="Arial"/>
          <w:lang w:val="en-US"/>
        </w:rPr>
        <w:t>[3]</w:t>
      </w:r>
      <w:r w:rsidR="001756FC">
        <w:rPr>
          <w:rFonts w:cs="Arial"/>
          <w:lang w:val="en-US"/>
        </w:rPr>
        <w:fldChar w:fldCharType="end"/>
      </w:r>
      <w:r w:rsidR="001756FC">
        <w:rPr>
          <w:rFonts w:cs="Arial"/>
          <w:lang w:val="en-US"/>
        </w:rPr>
        <w:t xml:space="preserve"> </w:t>
      </w:r>
      <w:r w:rsidR="00C86BF2">
        <w:rPr>
          <w:rFonts w:cs="Arial"/>
          <w:lang w:val="en-US"/>
        </w:rPr>
        <w:t xml:space="preserve">is sent </w:t>
      </w:r>
      <w:r w:rsidR="00C86BF2" w:rsidRPr="005F5D7B">
        <w:rPr>
          <w:rFonts w:cs="Arial"/>
          <w:lang w:val="en-US"/>
        </w:rPr>
        <w:t xml:space="preserve">to RAN1 </w:t>
      </w:r>
      <w:r w:rsidR="00C86BF2">
        <w:rPr>
          <w:rFonts w:cs="Arial"/>
          <w:lang w:val="en-US"/>
        </w:rPr>
        <w:t>to know</w:t>
      </w:r>
      <w:r w:rsidR="00C86BF2" w:rsidRPr="005F5D7B">
        <w:rPr>
          <w:rFonts w:cs="Arial"/>
          <w:lang w:val="en-US"/>
        </w:rPr>
        <w:t xml:space="preserve"> </w:t>
      </w:r>
      <w:r w:rsidR="00C86BF2">
        <w:rPr>
          <w:rFonts w:cs="Arial"/>
          <w:lang w:val="en-US"/>
        </w:rPr>
        <w:t xml:space="preserve">if </w:t>
      </w:r>
      <w:r w:rsidR="00C86BF2" w:rsidRPr="005F5D7B">
        <w:rPr>
          <w:rFonts w:cs="Arial"/>
          <w:lang w:val="en-US"/>
        </w:rPr>
        <w:t>there is any reliable DL signal</w:t>
      </w:r>
      <w:r w:rsidR="00C86BF2">
        <w:rPr>
          <w:rFonts w:cs="Arial"/>
          <w:lang w:val="en-US"/>
        </w:rPr>
        <w:t>,</w:t>
      </w:r>
      <w:r w:rsidR="00C86BF2" w:rsidRPr="005F5D7B">
        <w:rPr>
          <w:rFonts w:cs="Arial"/>
          <w:lang w:val="en-US"/>
        </w:rPr>
        <w:t xml:space="preserve"> other than the PDCCH scrambled by P-RNTI that UE can rely on to terminate the paging monitoring.</w:t>
      </w:r>
    </w:p>
    <w:p w14:paraId="3CD64B1B" w14:textId="77777777" w:rsidR="00C86BF2" w:rsidRPr="005F5D7B" w:rsidRDefault="00C86BF2" w:rsidP="005F5D7B">
      <w:pPr>
        <w:rPr>
          <w:rFonts w:cs="Arial"/>
          <w:lang w:val="en-US"/>
        </w:rPr>
      </w:pPr>
    </w:p>
    <w:tbl>
      <w:tblPr>
        <w:tblStyle w:val="TableGrid"/>
        <w:tblW w:w="0" w:type="auto"/>
        <w:jc w:val="center"/>
        <w:tblLook w:val="04A0" w:firstRow="1" w:lastRow="0" w:firstColumn="1" w:lastColumn="0" w:noHBand="0" w:noVBand="1"/>
      </w:tblPr>
      <w:tblGrid>
        <w:gridCol w:w="9855"/>
      </w:tblGrid>
      <w:tr w:rsidR="005F5D7B" w:rsidRPr="005F5D7B" w14:paraId="5880150D" w14:textId="77777777" w:rsidTr="005F5D7B">
        <w:trPr>
          <w:jc w:val="center"/>
        </w:trPr>
        <w:tc>
          <w:tcPr>
            <w:tcW w:w="9855" w:type="dxa"/>
          </w:tcPr>
          <w:p w14:paraId="54F51935" w14:textId="77777777" w:rsidR="005F5D7B" w:rsidRPr="005F5D7B" w:rsidRDefault="005F5D7B" w:rsidP="00696A35">
            <w:pPr>
              <w:pStyle w:val="BodyText"/>
              <w:rPr>
                <w:rFonts w:ascii="Arial" w:hAnsi="Arial" w:cs="Arial"/>
                <w:u w:val="single"/>
                <w:lang w:val="en-US"/>
              </w:rPr>
            </w:pPr>
            <w:r w:rsidRPr="005F5D7B">
              <w:rPr>
                <w:rFonts w:ascii="Arial" w:hAnsi="Arial" w:cs="Arial"/>
                <w:u w:val="single"/>
                <w:lang w:val="en-US"/>
              </w:rPr>
              <w:t>Agreement in RAN2#106:</w:t>
            </w:r>
          </w:p>
          <w:p w14:paraId="4F804BBE" w14:textId="77777777" w:rsidR="00C86BF2" w:rsidRDefault="005F5D7B" w:rsidP="00C86BF2">
            <w:pPr>
              <w:pStyle w:val="BodyText"/>
              <w:numPr>
                <w:ilvl w:val="0"/>
                <w:numId w:val="17"/>
              </w:numPr>
              <w:spacing w:after="160" w:line="259" w:lineRule="auto"/>
              <w:rPr>
                <w:rFonts w:ascii="Arial" w:hAnsi="Arial" w:cs="Arial"/>
                <w:b/>
              </w:rPr>
            </w:pPr>
            <w:r w:rsidRPr="005F5D7B">
              <w:rPr>
                <w:rFonts w:ascii="Arial" w:hAnsi="Arial" w:cs="Arial"/>
                <w:b/>
              </w:rPr>
              <w:t>The UE should also stop monitoring paging for the PO even if it does not decode a P-RNTI if it can detect that the gNB had access to the channel at the pdcch monitoring occasion. FFS if there are additional detection methods to detection of PRNTI and what those are.</w:t>
            </w:r>
          </w:p>
          <w:p w14:paraId="265286EC" w14:textId="77777777" w:rsidR="00C86BF2" w:rsidRPr="005F5D7B" w:rsidRDefault="00C86BF2" w:rsidP="00C86BF2">
            <w:pPr>
              <w:pStyle w:val="BodyText"/>
              <w:rPr>
                <w:rFonts w:ascii="Arial" w:hAnsi="Arial" w:cs="Arial"/>
                <w:u w:val="single"/>
                <w:lang w:val="en-US"/>
              </w:rPr>
            </w:pPr>
            <w:r w:rsidRPr="005F5D7B">
              <w:rPr>
                <w:rFonts w:ascii="Arial" w:hAnsi="Arial" w:cs="Arial"/>
                <w:u w:val="single"/>
                <w:lang w:val="en-US"/>
              </w:rPr>
              <w:t>Agreement in RAN2#107:</w:t>
            </w:r>
          </w:p>
          <w:p w14:paraId="470EC474" w14:textId="77777777" w:rsidR="00C86BF2" w:rsidRPr="005F5D7B" w:rsidRDefault="00C86BF2" w:rsidP="00C86BF2">
            <w:pPr>
              <w:pStyle w:val="BodyText"/>
              <w:numPr>
                <w:ilvl w:val="0"/>
                <w:numId w:val="17"/>
              </w:numPr>
              <w:spacing w:after="160" w:line="259" w:lineRule="auto"/>
              <w:rPr>
                <w:rFonts w:ascii="Arial" w:hAnsi="Arial" w:cs="Arial"/>
                <w:b/>
              </w:rPr>
            </w:pPr>
            <w:r w:rsidRPr="005F5D7B">
              <w:rPr>
                <w:rFonts w:ascii="Arial" w:hAnsi="Arial" w:cs="Arial"/>
                <w:b/>
              </w:rPr>
              <w:t>Text for LS to R1: RAN2 has agree</w:t>
            </w:r>
            <w:r>
              <w:rPr>
                <w:rFonts w:ascii="Arial" w:hAnsi="Arial" w:cs="Arial"/>
                <w:b/>
              </w:rPr>
              <w:t>d</w:t>
            </w:r>
            <w:r w:rsidRPr="005F5D7B">
              <w:rPr>
                <w:rFonts w:ascii="Arial" w:hAnsi="Arial" w:cs="Arial"/>
                <w:b/>
              </w:rPr>
              <w:t xml:space="preserve"> to extend PDCCH monitoring at paging. RAN2 think</w:t>
            </w:r>
            <w:r>
              <w:rPr>
                <w:rFonts w:ascii="Arial" w:hAnsi="Arial" w:cs="Arial"/>
                <w:b/>
              </w:rPr>
              <w:t>s</w:t>
            </w:r>
            <w:r w:rsidRPr="005F5D7B">
              <w:rPr>
                <w:rFonts w:ascii="Arial" w:hAnsi="Arial" w:cs="Arial"/>
                <w:b/>
              </w:rPr>
              <w:t xml:space="preserve">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 </w:t>
            </w:r>
          </w:p>
          <w:p w14:paraId="59D4EC74" w14:textId="35AD226A" w:rsidR="00C86BF2" w:rsidRPr="00C86BF2" w:rsidRDefault="00150D64" w:rsidP="00C86BF2">
            <w:pPr>
              <w:pStyle w:val="BodyText"/>
              <w:spacing w:after="160" w:line="259" w:lineRule="auto"/>
              <w:rPr>
                <w:rFonts w:ascii="Arial" w:hAnsi="Arial" w:cs="Arial"/>
                <w:b/>
              </w:rPr>
            </w:pPr>
            <w:r>
              <w:rPr>
                <w:rFonts w:ascii="Arial" w:hAnsi="Arial" w:cs="Arial"/>
                <w:b/>
              </w:rPr>
              <w:t xml:space="preserve">         </w:t>
            </w:r>
            <w:r w:rsidR="00C86BF2" w:rsidRPr="005F5D7B">
              <w:rPr>
                <w:rFonts w:ascii="Arial" w:hAnsi="Arial" w:cs="Arial"/>
                <w:b/>
              </w:rPr>
              <w:t>DRAFT LS out in R2-1911540 (ZTE</w:t>
            </w:r>
            <w:r>
              <w:rPr>
                <w:rFonts w:ascii="Arial" w:hAnsi="Arial" w:cs="Arial"/>
                <w:b/>
              </w:rPr>
              <w:t>)</w:t>
            </w:r>
          </w:p>
        </w:tc>
      </w:tr>
    </w:tbl>
    <w:p w14:paraId="44B477AD" w14:textId="77777777" w:rsidR="005F5D7B" w:rsidRPr="005F5D7B" w:rsidRDefault="005F5D7B" w:rsidP="005F5D7B">
      <w:pPr>
        <w:pStyle w:val="BodyText"/>
        <w:rPr>
          <w:rFonts w:ascii="Arial" w:hAnsi="Arial" w:cs="Arial"/>
          <w:lang w:val="en-US"/>
        </w:rPr>
      </w:pPr>
    </w:p>
    <w:p w14:paraId="745D9E9E" w14:textId="15AC577C" w:rsidR="005F5D7B" w:rsidRPr="005F5D7B" w:rsidRDefault="005F5D7B" w:rsidP="005F5D7B">
      <w:pPr>
        <w:pStyle w:val="BodyText"/>
        <w:rPr>
          <w:rFonts w:ascii="Arial" w:hAnsi="Arial" w:cs="Arial"/>
        </w:rPr>
      </w:pPr>
      <w:r>
        <w:rPr>
          <w:rFonts w:ascii="Arial" w:hAnsi="Arial" w:cs="Arial"/>
        </w:rPr>
        <w:t xml:space="preserve">In response, </w:t>
      </w:r>
      <w:r w:rsidRPr="005F5D7B">
        <w:rPr>
          <w:rFonts w:ascii="Arial" w:hAnsi="Arial" w:cs="Arial"/>
        </w:rPr>
        <w:t xml:space="preserve">RAN1 </w:t>
      </w:r>
      <w:r>
        <w:rPr>
          <w:rFonts w:ascii="Arial" w:hAnsi="Arial" w:cs="Arial"/>
        </w:rPr>
        <w:t>mentioned</w:t>
      </w:r>
      <w:r w:rsidRPr="005F5D7B">
        <w:rPr>
          <w:rFonts w:ascii="Arial" w:hAnsi="Arial" w:cs="Arial"/>
        </w:rPr>
        <w:t xml:space="preserve"> </w:t>
      </w:r>
      <w:r>
        <w:rPr>
          <w:rFonts w:ascii="Arial" w:hAnsi="Arial" w:cs="Arial"/>
        </w:rPr>
        <w:t>that there exists other</w:t>
      </w:r>
      <w:r w:rsidRPr="005F5D7B">
        <w:rPr>
          <w:rFonts w:ascii="Arial" w:hAnsi="Arial" w:cs="Arial"/>
        </w:rPr>
        <w:t xml:space="preserve"> DL signals</w:t>
      </w:r>
      <w:r>
        <w:rPr>
          <w:rFonts w:ascii="Arial" w:hAnsi="Arial" w:cs="Arial"/>
        </w:rPr>
        <w:t>,</w:t>
      </w:r>
      <w:r w:rsidRPr="005F5D7B">
        <w:rPr>
          <w:rFonts w:ascii="Arial" w:hAnsi="Arial" w:cs="Arial"/>
        </w:rPr>
        <w:t xml:space="preserve"> as reliable as the PDCCH scrambled by P-RNTI</w:t>
      </w:r>
      <w:r w:rsidR="001756FC">
        <w:rPr>
          <w:rFonts w:ascii="Arial" w:hAnsi="Arial" w:cs="Arial"/>
        </w:rPr>
        <w:t xml:space="preserve"> </w:t>
      </w:r>
      <w:r w:rsidR="001756FC">
        <w:rPr>
          <w:rFonts w:ascii="Arial" w:hAnsi="Arial" w:cs="Arial"/>
        </w:rPr>
        <w:fldChar w:fldCharType="begin"/>
      </w:r>
      <w:r w:rsidR="001756FC">
        <w:rPr>
          <w:rFonts w:ascii="Arial" w:hAnsi="Arial" w:cs="Arial"/>
        </w:rPr>
        <w:instrText xml:space="preserve"> REF _Ref24039854 \r \h </w:instrText>
      </w:r>
      <w:r w:rsidR="001756FC">
        <w:rPr>
          <w:rFonts w:ascii="Arial" w:hAnsi="Arial" w:cs="Arial"/>
        </w:rPr>
      </w:r>
      <w:r w:rsidR="001756FC">
        <w:rPr>
          <w:rFonts w:ascii="Arial" w:hAnsi="Arial" w:cs="Arial"/>
        </w:rPr>
        <w:fldChar w:fldCharType="separate"/>
      </w:r>
      <w:r w:rsidR="001756FC">
        <w:rPr>
          <w:rFonts w:ascii="Arial" w:hAnsi="Arial" w:cs="Arial"/>
        </w:rPr>
        <w:t>[3]</w:t>
      </w:r>
      <w:r w:rsidR="001756FC">
        <w:rPr>
          <w:rFonts w:ascii="Arial" w:hAnsi="Arial" w:cs="Arial"/>
        </w:rPr>
        <w:fldChar w:fldCharType="end"/>
      </w:r>
      <w:r w:rsidRPr="005F5D7B">
        <w:rPr>
          <w:rFonts w:ascii="Arial" w:hAnsi="Arial" w:cs="Arial"/>
        </w:rPr>
        <w:t xml:space="preserve">. However, they </w:t>
      </w:r>
      <w:r>
        <w:rPr>
          <w:rFonts w:ascii="Arial" w:hAnsi="Arial" w:cs="Arial"/>
        </w:rPr>
        <w:t xml:space="preserve">was no consensus </w:t>
      </w:r>
      <w:r w:rsidR="00C86BF2">
        <w:rPr>
          <w:rFonts w:ascii="Arial" w:hAnsi="Arial" w:cs="Arial"/>
        </w:rPr>
        <w:t>in RA1#98 about any specific</w:t>
      </w:r>
      <w:r w:rsidRPr="005F5D7B">
        <w:rPr>
          <w:rFonts w:ascii="Arial" w:hAnsi="Arial" w:cs="Arial"/>
        </w:rPr>
        <w:t xml:space="preserve"> DL signal</w:t>
      </w:r>
      <w:r w:rsidR="00C86BF2">
        <w:rPr>
          <w:rFonts w:ascii="Arial" w:hAnsi="Arial" w:cs="Arial"/>
        </w:rPr>
        <w:t>, which</w:t>
      </w:r>
      <w:r w:rsidRPr="005F5D7B">
        <w:rPr>
          <w:rFonts w:ascii="Arial" w:hAnsi="Arial" w:cs="Arial"/>
        </w:rPr>
        <w:t xml:space="preserve"> is more suitable for UE to stop the paging monitoring</w:t>
      </w:r>
      <w:r w:rsidR="001756FC">
        <w:rPr>
          <w:rFonts w:ascii="Arial" w:hAnsi="Arial" w:cs="Arial"/>
        </w:rPr>
        <w:t xml:space="preserve"> </w:t>
      </w:r>
      <w:r w:rsidR="001756FC">
        <w:rPr>
          <w:rFonts w:ascii="Arial" w:hAnsi="Arial" w:cs="Arial"/>
        </w:rPr>
        <w:fldChar w:fldCharType="begin"/>
      </w:r>
      <w:r w:rsidR="001756FC">
        <w:rPr>
          <w:rFonts w:ascii="Arial" w:hAnsi="Arial" w:cs="Arial"/>
        </w:rPr>
        <w:instrText xml:space="preserve"> REF _Ref24040143 \r \h </w:instrText>
      </w:r>
      <w:r w:rsidR="001756FC">
        <w:rPr>
          <w:rFonts w:ascii="Arial" w:hAnsi="Arial" w:cs="Arial"/>
        </w:rPr>
      </w:r>
      <w:r w:rsidR="001756FC">
        <w:rPr>
          <w:rFonts w:ascii="Arial" w:hAnsi="Arial" w:cs="Arial"/>
        </w:rPr>
        <w:fldChar w:fldCharType="separate"/>
      </w:r>
      <w:r w:rsidR="001756FC">
        <w:rPr>
          <w:rFonts w:ascii="Arial" w:hAnsi="Arial" w:cs="Arial"/>
        </w:rPr>
        <w:t>[4]</w:t>
      </w:r>
      <w:r w:rsidR="001756FC">
        <w:rPr>
          <w:rFonts w:ascii="Arial" w:hAnsi="Arial" w:cs="Arial"/>
        </w:rPr>
        <w:fldChar w:fldCharType="end"/>
      </w:r>
      <w:r w:rsidRPr="005F5D7B">
        <w:rPr>
          <w:rFonts w:ascii="Arial" w:hAnsi="Arial" w:cs="Arial"/>
        </w:rPr>
        <w:t>.</w:t>
      </w:r>
    </w:p>
    <w:p w14:paraId="469AFB19" w14:textId="77777777" w:rsidR="005F5D7B" w:rsidRPr="005F5D7B" w:rsidRDefault="005F5D7B" w:rsidP="005F5D7B">
      <w:pPr>
        <w:pStyle w:val="BodyText"/>
        <w:rPr>
          <w:rFonts w:ascii="Arial" w:hAnsi="Arial" w:cs="Arial"/>
        </w:rPr>
      </w:pPr>
      <w:r w:rsidRPr="005F5D7B">
        <w:rPr>
          <w:rFonts w:ascii="Arial" w:hAnsi="Arial" w:cs="Arial"/>
        </w:rPr>
        <w:t xml:space="preserve"> </w:t>
      </w:r>
    </w:p>
    <w:tbl>
      <w:tblPr>
        <w:tblStyle w:val="TableGrid"/>
        <w:tblW w:w="0" w:type="auto"/>
        <w:jc w:val="center"/>
        <w:tblLook w:val="04A0" w:firstRow="1" w:lastRow="0" w:firstColumn="1" w:lastColumn="0" w:noHBand="0" w:noVBand="1"/>
      </w:tblPr>
      <w:tblGrid>
        <w:gridCol w:w="9180"/>
      </w:tblGrid>
      <w:tr w:rsidR="005F5D7B" w:rsidRPr="005F5D7B" w14:paraId="0F5EBC2C" w14:textId="77777777" w:rsidTr="004918F0">
        <w:trPr>
          <w:jc w:val="center"/>
        </w:trPr>
        <w:tc>
          <w:tcPr>
            <w:tcW w:w="9180" w:type="dxa"/>
          </w:tcPr>
          <w:p w14:paraId="429FD6E8" w14:textId="77777777" w:rsidR="005F5D7B" w:rsidRPr="005F5D7B" w:rsidRDefault="005F5D7B" w:rsidP="00696A35">
            <w:pPr>
              <w:pStyle w:val="BodyText"/>
              <w:rPr>
                <w:rFonts w:ascii="Arial" w:hAnsi="Arial" w:cs="Arial"/>
                <w:u w:val="single"/>
                <w:lang w:val="en-US"/>
              </w:rPr>
            </w:pPr>
            <w:r w:rsidRPr="005F5D7B">
              <w:rPr>
                <w:rFonts w:ascii="Arial" w:hAnsi="Arial" w:cs="Arial"/>
                <w:u w:val="single"/>
                <w:lang w:val="en-US"/>
              </w:rPr>
              <w:t>Agreement in RAN1#98b:</w:t>
            </w:r>
          </w:p>
          <w:p w14:paraId="0904608B" w14:textId="77777777" w:rsidR="005F5D7B" w:rsidRPr="005F5D7B" w:rsidRDefault="005F5D7B" w:rsidP="00696A35">
            <w:pPr>
              <w:pStyle w:val="BodyText"/>
              <w:rPr>
                <w:rFonts w:ascii="Arial" w:hAnsi="Arial" w:cs="Arial"/>
                <w:b/>
              </w:rPr>
            </w:pPr>
            <w:r w:rsidRPr="005F5D7B">
              <w:rPr>
                <w:rFonts w:ascii="Arial" w:hAnsi="Arial" w:cs="Arial"/>
                <w:b/>
              </w:rPr>
              <w:t>Include the following in a reply LS to RAN2 for R1-1909954:</w:t>
            </w:r>
          </w:p>
          <w:p w14:paraId="07F87B4F" w14:textId="77777777" w:rsidR="005F5D7B" w:rsidRPr="005F5D7B" w:rsidRDefault="005F5D7B" w:rsidP="005F5D7B">
            <w:pPr>
              <w:pStyle w:val="BodyText"/>
              <w:numPr>
                <w:ilvl w:val="0"/>
                <w:numId w:val="17"/>
              </w:numPr>
              <w:spacing w:after="160" w:line="259" w:lineRule="auto"/>
              <w:rPr>
                <w:rFonts w:ascii="Arial" w:hAnsi="Arial" w:cs="Arial"/>
                <w:b/>
              </w:rPr>
            </w:pPr>
            <w:r w:rsidRPr="005F5D7B">
              <w:rPr>
                <w:rFonts w:ascii="Arial" w:hAnsi="Arial" w:cs="Arial"/>
                <w:b/>
              </w:rPr>
              <w:t>There are other signals/channels that can be detected with similar reliability to a DCI with CRC scrambled with a P-RNTI (e.g., PDCCHs with CRC scrambled with other RNTIs)</w:t>
            </w:r>
          </w:p>
          <w:p w14:paraId="629F2BC3" w14:textId="77777777" w:rsidR="005F5D7B" w:rsidRPr="005F5D7B" w:rsidRDefault="005F5D7B" w:rsidP="005F5D7B">
            <w:pPr>
              <w:pStyle w:val="BodyText"/>
              <w:numPr>
                <w:ilvl w:val="0"/>
                <w:numId w:val="17"/>
              </w:numPr>
              <w:spacing w:after="160" w:line="259" w:lineRule="auto"/>
              <w:rPr>
                <w:rFonts w:ascii="Arial" w:hAnsi="Arial" w:cs="Arial"/>
                <w:b/>
              </w:rPr>
            </w:pPr>
            <w:r w:rsidRPr="005F5D7B">
              <w:rPr>
                <w:rFonts w:ascii="Arial" w:hAnsi="Arial" w:cs="Arial"/>
                <w:b/>
              </w:rPr>
              <w:t>There is no consensus in RAN1 on using these other signals/channels for the purpose of the UE stopping the monitoring of the additional PDCCH monitoring occasions at a given paging occasion</w:t>
            </w:r>
          </w:p>
        </w:tc>
      </w:tr>
    </w:tbl>
    <w:p w14:paraId="40659FC7" w14:textId="77777777" w:rsidR="005F5D7B" w:rsidRPr="005F5D7B" w:rsidRDefault="005F5D7B" w:rsidP="005F5D7B">
      <w:pPr>
        <w:pStyle w:val="BodyText"/>
        <w:rPr>
          <w:rFonts w:ascii="Arial" w:hAnsi="Arial" w:cs="Arial"/>
        </w:rPr>
      </w:pPr>
    </w:p>
    <w:p w14:paraId="6818A76D" w14:textId="77777777" w:rsidR="00150D64" w:rsidRDefault="00150D64" w:rsidP="005F5D7B">
      <w:pPr>
        <w:pStyle w:val="BodyText"/>
        <w:rPr>
          <w:rFonts w:ascii="Arial" w:hAnsi="Arial" w:cs="Arial"/>
          <w:lang w:val="en-US"/>
        </w:rPr>
      </w:pPr>
    </w:p>
    <w:p w14:paraId="14DBE771" w14:textId="77777777" w:rsidR="00150D64" w:rsidRDefault="00150D64" w:rsidP="005F5D7B">
      <w:pPr>
        <w:pStyle w:val="BodyText"/>
        <w:rPr>
          <w:rFonts w:ascii="Arial" w:hAnsi="Arial" w:cs="Arial"/>
          <w:lang w:val="en-US"/>
        </w:rPr>
      </w:pPr>
    </w:p>
    <w:p w14:paraId="11D0F59E" w14:textId="460C7D30" w:rsidR="002627CF" w:rsidRPr="002627CF" w:rsidRDefault="000129F8" w:rsidP="000B305B">
      <w:pPr>
        <w:pStyle w:val="Heading1"/>
      </w:pPr>
      <w:r>
        <w:lastRenderedPageBreak/>
        <w:t>2</w:t>
      </w:r>
      <w:r w:rsidR="003651D2">
        <w:t xml:space="preserve"> </w:t>
      </w:r>
      <w:r w:rsidR="004202CF">
        <w:t>Discussion</w:t>
      </w:r>
    </w:p>
    <w:p w14:paraId="3F552A7A" w14:textId="77777777" w:rsidR="001756FC" w:rsidRDefault="00150D64" w:rsidP="001756FC">
      <w:pPr>
        <w:pStyle w:val="BodyText"/>
        <w:rPr>
          <w:rFonts w:ascii="Arial" w:hAnsi="Arial" w:cs="Arial"/>
          <w:lang w:val="en-US"/>
        </w:rPr>
      </w:pPr>
      <w:r w:rsidRPr="00150D64">
        <w:rPr>
          <w:rFonts w:ascii="Arial" w:hAnsi="Arial" w:cs="Arial"/>
          <w:lang w:val="en-US"/>
        </w:rPr>
        <w:t xml:space="preserve">Extending the </w:t>
      </w:r>
      <w:r>
        <w:rPr>
          <w:rFonts w:ascii="Arial" w:hAnsi="Arial" w:cs="Arial"/>
          <w:lang w:val="en-US"/>
        </w:rPr>
        <w:t>PDCCH monitoring</w:t>
      </w:r>
      <w:r w:rsidRPr="00150D64">
        <w:rPr>
          <w:rFonts w:ascii="Arial" w:hAnsi="Arial" w:cs="Arial"/>
          <w:lang w:val="en-US"/>
        </w:rPr>
        <w:t xml:space="preserve"> duration</w:t>
      </w:r>
      <w:r>
        <w:rPr>
          <w:rFonts w:ascii="Arial" w:hAnsi="Arial" w:cs="Arial"/>
          <w:lang w:val="en-US"/>
        </w:rPr>
        <w:t xml:space="preserve"> might</w:t>
      </w:r>
      <w:r w:rsidRPr="00150D64">
        <w:rPr>
          <w:rFonts w:ascii="Arial" w:hAnsi="Arial" w:cs="Arial"/>
          <w:lang w:val="en-US"/>
        </w:rPr>
        <w:t xml:space="preserve"> </w:t>
      </w:r>
      <w:r>
        <w:rPr>
          <w:rFonts w:ascii="Arial" w:hAnsi="Arial" w:cs="Arial"/>
          <w:lang w:val="en-US"/>
        </w:rPr>
        <w:t xml:space="preserve">lead to unnecessary </w:t>
      </w:r>
      <w:r w:rsidRPr="00150D64">
        <w:rPr>
          <w:rFonts w:ascii="Arial" w:hAnsi="Arial" w:cs="Arial"/>
          <w:lang w:val="en-US"/>
        </w:rPr>
        <w:t>consum</w:t>
      </w:r>
      <w:r>
        <w:rPr>
          <w:rFonts w:ascii="Arial" w:hAnsi="Arial" w:cs="Arial"/>
          <w:lang w:val="en-US"/>
        </w:rPr>
        <w:t>ption of</w:t>
      </w:r>
      <w:r w:rsidRPr="00150D64">
        <w:rPr>
          <w:rFonts w:ascii="Arial" w:hAnsi="Arial" w:cs="Arial"/>
          <w:lang w:val="en-US"/>
        </w:rPr>
        <w:t xml:space="preserve"> UE’s power</w:t>
      </w:r>
      <w:r>
        <w:rPr>
          <w:rFonts w:ascii="Arial" w:hAnsi="Arial" w:cs="Arial"/>
          <w:lang w:val="en-US"/>
        </w:rPr>
        <w:t>,</w:t>
      </w:r>
      <w:r w:rsidRPr="00150D64">
        <w:rPr>
          <w:rFonts w:ascii="Arial" w:hAnsi="Arial" w:cs="Arial"/>
          <w:lang w:val="en-US"/>
        </w:rPr>
        <w:t xml:space="preserve"> when the channel is free.</w:t>
      </w:r>
      <w:r>
        <w:rPr>
          <w:rFonts w:ascii="Arial" w:hAnsi="Arial" w:cs="Arial"/>
          <w:lang w:val="en-US"/>
        </w:rPr>
        <w:t xml:space="preserve"> Thus, as agreed in </w:t>
      </w:r>
      <w:r w:rsidRPr="00150D64">
        <w:rPr>
          <w:rFonts w:ascii="Arial" w:hAnsi="Arial" w:cs="Arial"/>
          <w:lang w:val="en-US"/>
        </w:rPr>
        <w:t>RAN2#106 meeting, “UE should also stop monitoring paging for the PO even if it does not decode a P-RNTI</w:t>
      </w:r>
      <w:r>
        <w:rPr>
          <w:rFonts w:ascii="Arial" w:hAnsi="Arial" w:cs="Arial"/>
          <w:lang w:val="en-US"/>
        </w:rPr>
        <w:t>,</w:t>
      </w:r>
      <w:r w:rsidRPr="00150D64">
        <w:rPr>
          <w:rFonts w:ascii="Arial" w:hAnsi="Arial" w:cs="Arial"/>
          <w:lang w:val="en-US"/>
        </w:rPr>
        <w:t xml:space="preserve"> if it can detect that the gNB had access to the channel at the PDCCH monitoring occasion”. </w:t>
      </w:r>
      <w:r w:rsidR="001756FC">
        <w:rPr>
          <w:rFonts w:ascii="Arial" w:hAnsi="Arial" w:cs="Arial"/>
          <w:lang w:val="en-US"/>
        </w:rPr>
        <w:t xml:space="preserve"> </w:t>
      </w:r>
      <w:r w:rsidR="001756FC">
        <w:rPr>
          <w:rFonts w:ascii="Arial" w:hAnsi="Arial" w:cs="Arial"/>
          <w:lang w:val="en-US"/>
        </w:rPr>
        <w:t>As RAN1 has indicated about availability of other DL signals</w:t>
      </w:r>
      <w:r w:rsidR="001756FC" w:rsidRPr="005F5D7B">
        <w:rPr>
          <w:rFonts w:ascii="Arial" w:hAnsi="Arial" w:cs="Arial"/>
          <w:lang w:val="en-US"/>
        </w:rPr>
        <w:t xml:space="preserve">, </w:t>
      </w:r>
      <w:r w:rsidR="001756FC">
        <w:rPr>
          <w:rFonts w:ascii="Arial" w:hAnsi="Arial" w:cs="Arial"/>
          <w:lang w:val="en-US"/>
        </w:rPr>
        <w:t>but didn’t point out any specific signal, we think RAN2 needs to select a particular process to proceed in this aspect.</w:t>
      </w:r>
    </w:p>
    <w:p w14:paraId="70492F34" w14:textId="0A8951B1" w:rsidR="001756FC" w:rsidRPr="001756FC" w:rsidRDefault="001756FC" w:rsidP="001756FC">
      <w:pPr>
        <w:pStyle w:val="BodyText"/>
        <w:rPr>
          <w:rFonts w:ascii="Arial" w:hAnsi="Arial" w:cs="Arial"/>
          <w:b/>
          <w:lang w:val="en-US"/>
        </w:rPr>
      </w:pPr>
      <w:r w:rsidRPr="001756FC">
        <w:rPr>
          <w:rFonts w:ascii="Arial" w:hAnsi="Arial" w:cs="Arial"/>
          <w:b/>
          <w:lang w:val="en-US"/>
        </w:rPr>
        <w:t xml:space="preserve">Proposal 1: </w:t>
      </w:r>
      <w:r w:rsidRPr="001756FC">
        <w:rPr>
          <w:rFonts w:ascii="Arial" w:hAnsi="Arial" w:cs="Arial"/>
          <w:b/>
          <w:lang w:val="en-US"/>
        </w:rPr>
        <w:t>RAN2 needs to select a particular process to</w:t>
      </w:r>
      <w:r w:rsidRPr="001756FC">
        <w:rPr>
          <w:rFonts w:ascii="Arial" w:hAnsi="Arial" w:cs="Arial"/>
          <w:b/>
          <w:lang w:val="en-US"/>
        </w:rPr>
        <w:t xml:space="preserve"> enable the UE stop paging monitoring </w:t>
      </w:r>
      <w:r w:rsidRPr="001756FC">
        <w:rPr>
          <w:rFonts w:ascii="Arial" w:hAnsi="Arial" w:cs="Arial"/>
          <w:b/>
          <w:lang w:val="en-US"/>
        </w:rPr>
        <w:t xml:space="preserve">even if it does not decode a P-RNTI, </w:t>
      </w:r>
      <w:r w:rsidRPr="001756FC">
        <w:rPr>
          <w:rFonts w:ascii="Arial" w:hAnsi="Arial" w:cs="Arial"/>
          <w:b/>
          <w:lang w:val="en-US"/>
        </w:rPr>
        <w:t>but</w:t>
      </w:r>
      <w:r w:rsidRPr="001756FC">
        <w:rPr>
          <w:rFonts w:ascii="Arial" w:hAnsi="Arial" w:cs="Arial"/>
          <w:b/>
          <w:lang w:val="en-US"/>
        </w:rPr>
        <w:t xml:space="preserve"> can detect that gNB had access to the channel</w:t>
      </w:r>
      <w:r>
        <w:rPr>
          <w:rFonts w:ascii="Arial" w:hAnsi="Arial" w:cs="Arial"/>
          <w:b/>
          <w:lang w:val="en-US"/>
        </w:rPr>
        <w:t>.</w:t>
      </w:r>
    </w:p>
    <w:p w14:paraId="42A4C25F" w14:textId="77777777" w:rsidR="001756FC" w:rsidRDefault="001756FC" w:rsidP="001756FC">
      <w:pPr>
        <w:pStyle w:val="BodyText"/>
        <w:rPr>
          <w:rFonts w:ascii="Arial" w:hAnsi="Arial" w:cs="Arial"/>
          <w:lang w:val="en-US"/>
        </w:rPr>
      </w:pPr>
    </w:p>
    <w:p w14:paraId="139AECC9" w14:textId="77777777" w:rsidR="001756FC" w:rsidRDefault="00150D64" w:rsidP="001756FC">
      <w:pPr>
        <w:pStyle w:val="BodyText"/>
        <w:rPr>
          <w:rFonts w:ascii="Arial" w:hAnsi="Arial" w:cs="Arial"/>
          <w:lang w:val="en-US"/>
        </w:rPr>
      </w:pPr>
      <w:r>
        <w:rPr>
          <w:rFonts w:ascii="Arial" w:hAnsi="Arial" w:cs="Arial"/>
          <w:lang w:val="en-US"/>
        </w:rPr>
        <w:t>Based on the outcome of RAN1#98b meeting, it is clear that NR-U gNB</w:t>
      </w:r>
      <w:r w:rsidRPr="00150D64">
        <w:rPr>
          <w:rFonts w:ascii="Arial" w:hAnsi="Arial" w:cs="Arial"/>
          <w:lang w:val="en-US"/>
        </w:rPr>
        <w:t xml:space="preserve"> can indicate the total length or the remaining length of COT in GC-PDCCH, when gNB is able to obtain the channel.</w:t>
      </w:r>
      <w:r>
        <w:rPr>
          <w:rFonts w:ascii="Arial" w:hAnsi="Arial" w:cs="Arial"/>
          <w:lang w:val="en-US"/>
        </w:rPr>
        <w:t xml:space="preserve"> Hence, if NR-U gNB succeeds in acquiring the channel during the PO and configures the COT duration in DCI format 2_0, NR-U UE can obtain this information by reading the </w:t>
      </w:r>
      <w:r w:rsidRPr="00150D64">
        <w:rPr>
          <w:rFonts w:ascii="Arial" w:hAnsi="Arial" w:cs="Arial"/>
          <w:lang w:val="en-US"/>
        </w:rPr>
        <w:t>GC-PDCCH</w:t>
      </w:r>
      <w:r>
        <w:rPr>
          <w:rFonts w:ascii="Arial" w:hAnsi="Arial" w:cs="Arial"/>
          <w:lang w:val="en-US"/>
        </w:rPr>
        <w:t>.</w:t>
      </w:r>
    </w:p>
    <w:p w14:paraId="2C3B3803" w14:textId="77777777" w:rsidR="001756FC" w:rsidRDefault="001756FC" w:rsidP="001756FC">
      <w:pPr>
        <w:pStyle w:val="BodyText"/>
        <w:rPr>
          <w:rFonts w:ascii="Arial" w:hAnsi="Arial" w:cs="Arial"/>
          <w:lang w:val="en-US"/>
        </w:rPr>
      </w:pPr>
    </w:p>
    <w:p w14:paraId="235D8D8C" w14:textId="77777777" w:rsidR="001756FC" w:rsidRDefault="00150D64" w:rsidP="001756FC">
      <w:pPr>
        <w:pStyle w:val="BodyText"/>
        <w:rPr>
          <w:rFonts w:ascii="Arial" w:hAnsi="Arial" w:cs="Arial"/>
          <w:lang w:val="en-US"/>
        </w:rPr>
      </w:pPr>
      <w:r w:rsidRPr="00150D64">
        <w:rPr>
          <w:rFonts w:ascii="Arial" w:hAnsi="Arial" w:cs="Arial"/>
          <w:b/>
          <w:lang w:val="en-US"/>
        </w:rPr>
        <w:t>Observation 1:</w:t>
      </w:r>
      <w:r w:rsidR="008217F4">
        <w:rPr>
          <w:rFonts w:ascii="Arial" w:hAnsi="Arial" w:cs="Arial"/>
          <w:b/>
          <w:lang w:val="en-US"/>
        </w:rPr>
        <w:t xml:space="preserve"> </w:t>
      </w:r>
      <w:r w:rsidR="00087D0D">
        <w:rPr>
          <w:rFonts w:ascii="Arial" w:hAnsi="Arial" w:cs="Arial"/>
          <w:b/>
          <w:lang w:val="en-US"/>
        </w:rPr>
        <w:t>NR-U gNB can indicate the COT duration using DCI format 2_0 in</w:t>
      </w:r>
      <w:r w:rsidRPr="00150D64">
        <w:rPr>
          <w:rFonts w:ascii="Arial" w:hAnsi="Arial" w:cs="Arial"/>
          <w:b/>
          <w:lang w:val="en-US"/>
        </w:rPr>
        <w:t xml:space="preserve"> </w:t>
      </w:r>
      <w:r w:rsidR="008217F4">
        <w:rPr>
          <w:rFonts w:ascii="Arial" w:hAnsi="Arial" w:cs="Arial"/>
          <w:b/>
          <w:lang w:val="en-US"/>
        </w:rPr>
        <w:t>GC-PDCCH</w:t>
      </w:r>
      <w:r w:rsidRPr="00150D64">
        <w:rPr>
          <w:rFonts w:ascii="Arial" w:hAnsi="Arial" w:cs="Arial"/>
          <w:b/>
          <w:lang w:val="en-US"/>
        </w:rPr>
        <w:t>.</w:t>
      </w:r>
    </w:p>
    <w:p w14:paraId="55F45E2A" w14:textId="77777777" w:rsidR="001756FC" w:rsidRDefault="00150D64" w:rsidP="001756FC">
      <w:pPr>
        <w:pStyle w:val="BodyText"/>
        <w:rPr>
          <w:rFonts w:ascii="Arial" w:hAnsi="Arial" w:cs="Arial"/>
          <w:lang w:val="en-US"/>
        </w:rPr>
      </w:pPr>
      <w:r w:rsidRPr="00150D64">
        <w:rPr>
          <w:rFonts w:ascii="Arial" w:hAnsi="Arial" w:cs="Arial"/>
        </w:rPr>
        <w:t>Given that GC-PDCCH can provide the same reliability</w:t>
      </w:r>
      <w:r>
        <w:rPr>
          <w:rFonts w:ascii="Arial" w:hAnsi="Arial" w:cs="Arial"/>
        </w:rPr>
        <w:t xml:space="preserve"> as Paging RNTI</w:t>
      </w:r>
      <w:r w:rsidRPr="00150D64">
        <w:rPr>
          <w:rFonts w:ascii="Arial" w:hAnsi="Arial" w:cs="Arial"/>
        </w:rPr>
        <w:t xml:space="preserve"> and </w:t>
      </w:r>
      <w:r>
        <w:rPr>
          <w:rFonts w:ascii="Arial" w:hAnsi="Arial" w:cs="Arial"/>
        </w:rPr>
        <w:t>it can be used for</w:t>
      </w:r>
      <w:r w:rsidRPr="00150D64">
        <w:rPr>
          <w:rFonts w:ascii="Arial" w:hAnsi="Arial" w:cs="Arial"/>
        </w:rPr>
        <w:t xml:space="preserve"> making UE aware that gNB has or has not obtained the channel. </w:t>
      </w:r>
      <w:r>
        <w:rPr>
          <w:rFonts w:ascii="Arial" w:hAnsi="Arial" w:cs="Arial"/>
        </w:rPr>
        <w:t xml:space="preserve">As UE gets aware of the COT duration, it can stop </w:t>
      </w:r>
      <w:r w:rsidRPr="00150D64">
        <w:rPr>
          <w:rFonts w:ascii="Arial" w:hAnsi="Arial" w:cs="Arial"/>
          <w:lang w:val="en-US"/>
        </w:rPr>
        <w:t xml:space="preserve">monitoring paging and </w:t>
      </w:r>
      <w:r>
        <w:rPr>
          <w:rFonts w:ascii="Arial" w:hAnsi="Arial" w:cs="Arial"/>
          <w:lang w:val="en-US"/>
        </w:rPr>
        <w:t>return to</w:t>
      </w:r>
      <w:r w:rsidRPr="00150D64">
        <w:rPr>
          <w:rFonts w:ascii="Arial" w:hAnsi="Arial" w:cs="Arial"/>
          <w:lang w:val="en-US"/>
        </w:rPr>
        <w:t xml:space="preserve"> sleep </w:t>
      </w:r>
      <w:r>
        <w:rPr>
          <w:rFonts w:ascii="Arial" w:hAnsi="Arial" w:cs="Arial"/>
          <w:lang w:val="en-US"/>
        </w:rPr>
        <w:t xml:space="preserve">mode </w:t>
      </w:r>
      <w:r w:rsidRPr="00150D64">
        <w:rPr>
          <w:rFonts w:ascii="Arial" w:hAnsi="Arial" w:cs="Arial"/>
          <w:lang w:val="en-US"/>
        </w:rPr>
        <w:t xml:space="preserve">at the end of the COT </w:t>
      </w:r>
      <w:r>
        <w:rPr>
          <w:rFonts w:ascii="Arial" w:hAnsi="Arial" w:cs="Arial"/>
          <w:lang w:val="en-US"/>
        </w:rPr>
        <w:t xml:space="preserve">duration, without even receiving any </w:t>
      </w:r>
      <w:r w:rsidRPr="00150D64">
        <w:rPr>
          <w:rFonts w:ascii="Arial" w:hAnsi="Arial" w:cs="Arial"/>
          <w:lang w:val="en-US"/>
        </w:rPr>
        <w:t>PDCCH with the CRC scrambled by P-RNTI.</w:t>
      </w:r>
      <w:r>
        <w:rPr>
          <w:rFonts w:ascii="Arial" w:hAnsi="Arial" w:cs="Arial"/>
          <w:lang w:val="en-US"/>
        </w:rPr>
        <w:t xml:space="preserve"> </w:t>
      </w:r>
      <w:r>
        <w:rPr>
          <w:rFonts w:ascii="Arial" w:hAnsi="Arial" w:cs="Arial"/>
        </w:rPr>
        <w:t xml:space="preserve">This has the power to save </w:t>
      </w:r>
      <w:r w:rsidRPr="00150D64">
        <w:rPr>
          <w:rFonts w:ascii="Arial" w:hAnsi="Arial" w:cs="Arial"/>
        </w:rPr>
        <w:t xml:space="preserve">UE’s power </w:t>
      </w:r>
      <w:r>
        <w:rPr>
          <w:rFonts w:ascii="Arial" w:hAnsi="Arial" w:cs="Arial"/>
        </w:rPr>
        <w:t xml:space="preserve">when there is no paging message for the UE but the channel is acquired by the NR-U gNB. </w:t>
      </w:r>
    </w:p>
    <w:p w14:paraId="504B3550" w14:textId="77777777" w:rsidR="001756FC" w:rsidRDefault="001756FC" w:rsidP="001756FC">
      <w:pPr>
        <w:pStyle w:val="BodyText"/>
        <w:rPr>
          <w:rFonts w:ascii="Arial" w:hAnsi="Arial" w:cs="Arial"/>
          <w:lang w:val="en-US"/>
        </w:rPr>
      </w:pPr>
    </w:p>
    <w:p w14:paraId="72AF3428" w14:textId="4325F556" w:rsidR="0085317D" w:rsidRPr="001756FC" w:rsidRDefault="00150D64" w:rsidP="001756FC">
      <w:pPr>
        <w:pStyle w:val="BodyText"/>
        <w:rPr>
          <w:rFonts w:ascii="Arial" w:hAnsi="Arial" w:cs="Arial"/>
          <w:lang w:val="en-US"/>
        </w:rPr>
      </w:pPr>
      <w:r w:rsidRPr="00150D64">
        <w:rPr>
          <w:rFonts w:ascii="Arial" w:hAnsi="Arial" w:cs="Arial"/>
          <w:b/>
        </w:rPr>
        <w:t xml:space="preserve">Proposal </w:t>
      </w:r>
      <w:r w:rsidR="001756FC">
        <w:rPr>
          <w:rFonts w:ascii="Arial" w:hAnsi="Arial" w:cs="Arial"/>
          <w:b/>
        </w:rPr>
        <w:t>2</w:t>
      </w:r>
      <w:r w:rsidRPr="00150D64">
        <w:rPr>
          <w:rFonts w:ascii="Arial" w:hAnsi="Arial" w:cs="Arial"/>
          <w:b/>
        </w:rPr>
        <w:t xml:space="preserve">: </w:t>
      </w:r>
      <w:r>
        <w:rPr>
          <w:rFonts w:ascii="Arial" w:hAnsi="Arial" w:cs="Arial"/>
          <w:b/>
        </w:rPr>
        <w:t>Monitoring the COT duration</w:t>
      </w:r>
      <w:r w:rsidR="00F021DC">
        <w:rPr>
          <w:rFonts w:ascii="Arial" w:hAnsi="Arial" w:cs="Arial"/>
          <w:b/>
        </w:rPr>
        <w:t xml:space="preserve"> in </w:t>
      </w:r>
      <w:r w:rsidR="00F021DC">
        <w:rPr>
          <w:rFonts w:ascii="Arial" w:hAnsi="Arial" w:cs="Arial"/>
          <w:b/>
        </w:rPr>
        <w:t xml:space="preserve">GC-PDCCH </w:t>
      </w:r>
      <w:r>
        <w:rPr>
          <w:rFonts w:ascii="Arial" w:hAnsi="Arial" w:cs="Arial"/>
          <w:b/>
        </w:rPr>
        <w:t>assists UE to stop monitoring the paging occasions.</w:t>
      </w:r>
    </w:p>
    <w:p w14:paraId="32CC21C6" w14:textId="55403249" w:rsidR="00DF68E7" w:rsidRDefault="004202CF" w:rsidP="00287A26">
      <w:pPr>
        <w:pStyle w:val="Heading1"/>
      </w:pPr>
      <w:r>
        <w:t>3</w:t>
      </w:r>
      <w:r w:rsidR="00D76DB5">
        <w:t xml:space="preserve"> Conclusion</w:t>
      </w:r>
      <w:r w:rsidR="00F36682">
        <w:t>s</w:t>
      </w:r>
    </w:p>
    <w:p w14:paraId="49A5F7C2" w14:textId="77777777" w:rsidR="008217F4" w:rsidRDefault="0085317D" w:rsidP="008217F4">
      <w:r>
        <w:t xml:space="preserve">In this contribution, </w:t>
      </w:r>
      <w:r w:rsidR="00087D0D">
        <w:t>we show a viable method for the UE to stop paging monitoring based on COT duration information in GC-PDCCH.</w:t>
      </w:r>
    </w:p>
    <w:p w14:paraId="61AE7413" w14:textId="77777777" w:rsidR="001756FC" w:rsidRPr="001756FC" w:rsidRDefault="001756FC" w:rsidP="001756FC">
      <w:pPr>
        <w:pStyle w:val="BodyText"/>
        <w:rPr>
          <w:rFonts w:ascii="Arial" w:hAnsi="Arial" w:cs="Arial"/>
          <w:b/>
          <w:lang w:val="en-US"/>
        </w:rPr>
      </w:pPr>
      <w:r w:rsidRPr="001756FC">
        <w:rPr>
          <w:rFonts w:ascii="Arial" w:hAnsi="Arial" w:cs="Arial"/>
          <w:b/>
          <w:lang w:val="en-US"/>
        </w:rPr>
        <w:t>Proposal 1: RAN2 needs to select a particular process to enable the UE stop paging monitoring even if it does not decode a P-RNTI, but can detect that gNB had access to the channel</w:t>
      </w:r>
      <w:r>
        <w:rPr>
          <w:rFonts w:ascii="Arial" w:hAnsi="Arial" w:cs="Arial"/>
          <w:b/>
          <w:lang w:val="en-US"/>
        </w:rPr>
        <w:t>.</w:t>
      </w:r>
    </w:p>
    <w:p w14:paraId="7E1B928E" w14:textId="77777777" w:rsidR="008217F4" w:rsidRDefault="008217F4" w:rsidP="008217F4">
      <w:pPr>
        <w:rPr>
          <w:rFonts w:cs="Arial"/>
          <w:b/>
          <w:lang w:val="en-US"/>
        </w:rPr>
      </w:pPr>
      <w:r w:rsidRPr="00150D64">
        <w:rPr>
          <w:rFonts w:cs="Arial"/>
          <w:b/>
          <w:lang w:val="en-US"/>
        </w:rPr>
        <w:t>Observation 1:</w:t>
      </w:r>
      <w:r>
        <w:rPr>
          <w:rFonts w:cs="Arial"/>
          <w:b/>
          <w:lang w:val="en-US"/>
        </w:rPr>
        <w:t xml:space="preserve"> NR-U gNB can indicate the COT duration using DCI format 2_0 in</w:t>
      </w:r>
      <w:r w:rsidRPr="00150D64">
        <w:rPr>
          <w:rFonts w:cs="Arial"/>
          <w:b/>
          <w:lang w:val="en-US"/>
        </w:rPr>
        <w:t xml:space="preserve"> </w:t>
      </w:r>
      <w:r>
        <w:rPr>
          <w:rFonts w:cs="Arial"/>
          <w:b/>
          <w:lang w:val="en-US"/>
        </w:rPr>
        <w:t>GC-PDCCH</w:t>
      </w:r>
      <w:r w:rsidRPr="00150D64">
        <w:rPr>
          <w:rFonts w:cs="Arial"/>
          <w:b/>
          <w:lang w:val="en-US"/>
        </w:rPr>
        <w:t>.</w:t>
      </w:r>
    </w:p>
    <w:p w14:paraId="69CC6DFA" w14:textId="0869B20F" w:rsidR="008217F4" w:rsidRPr="008217F4" w:rsidRDefault="008217F4" w:rsidP="008217F4">
      <w:pPr>
        <w:rPr>
          <w:rFonts w:cs="Arial"/>
          <w:b/>
          <w:lang w:val="en-US"/>
        </w:rPr>
      </w:pPr>
      <w:r w:rsidRPr="00150D64">
        <w:rPr>
          <w:rFonts w:cs="Arial"/>
          <w:b/>
        </w:rPr>
        <w:t xml:space="preserve">Proposal </w:t>
      </w:r>
      <w:r>
        <w:rPr>
          <w:rFonts w:cs="Arial"/>
          <w:b/>
        </w:rPr>
        <w:t>1</w:t>
      </w:r>
      <w:r w:rsidRPr="00150D64">
        <w:rPr>
          <w:rFonts w:cs="Arial"/>
          <w:b/>
        </w:rPr>
        <w:t xml:space="preserve">: </w:t>
      </w:r>
      <w:r>
        <w:rPr>
          <w:rFonts w:cs="Arial"/>
          <w:b/>
        </w:rPr>
        <w:t xml:space="preserve">Monitoring the COT duration </w:t>
      </w:r>
      <w:r w:rsidR="00082537">
        <w:rPr>
          <w:rFonts w:cs="Arial"/>
          <w:b/>
        </w:rPr>
        <w:t xml:space="preserve">in GC-PDCCH </w:t>
      </w:r>
      <w:r>
        <w:rPr>
          <w:rFonts w:cs="Arial"/>
          <w:b/>
        </w:rPr>
        <w:t>assists UE to stop monitoring the paging occasions.</w:t>
      </w:r>
    </w:p>
    <w:p w14:paraId="7EDB2B9C" w14:textId="77777777" w:rsidR="008217F4" w:rsidRPr="001F729B" w:rsidRDefault="008217F4" w:rsidP="00511CE8">
      <w:pPr>
        <w:rPr>
          <w:sz w:val="4"/>
        </w:rPr>
      </w:pPr>
    </w:p>
    <w:p w14:paraId="4E445F4D" w14:textId="209F7064" w:rsidR="00DF68E7" w:rsidRPr="00DF68E7" w:rsidRDefault="004202CF" w:rsidP="00DF68E7">
      <w:pPr>
        <w:pStyle w:val="Heading1"/>
      </w:pPr>
      <w:r>
        <w:t>4</w:t>
      </w:r>
      <w:r w:rsidR="00DF68E7">
        <w:t xml:space="preserve"> References</w:t>
      </w:r>
    </w:p>
    <w:p w14:paraId="020CE892" w14:textId="77777777" w:rsidR="00470BB8" w:rsidRPr="00470BB8" w:rsidRDefault="00470BB8" w:rsidP="00470BB8">
      <w:pPr>
        <w:pStyle w:val="Reference"/>
        <w:rPr>
          <w:rFonts w:ascii="Arial" w:hAnsi="Arial" w:cs="Arial"/>
          <w:sz w:val="20"/>
          <w:szCs w:val="20"/>
        </w:rPr>
      </w:pPr>
      <w:bookmarkStart w:id="3" w:name="_Ref24039821"/>
      <w:r w:rsidRPr="00470BB8">
        <w:rPr>
          <w:rFonts w:ascii="Arial" w:hAnsi="Arial" w:cs="Arial"/>
          <w:sz w:val="20"/>
          <w:szCs w:val="20"/>
        </w:rPr>
        <w:t>Draft report of 3GPP TSG RAN WG2 meeting #106.</w:t>
      </w:r>
      <w:bookmarkEnd w:id="3"/>
    </w:p>
    <w:p w14:paraId="4442D7A5" w14:textId="77777777" w:rsidR="00470BB8" w:rsidRPr="00470BB8" w:rsidRDefault="00470BB8" w:rsidP="00470BB8">
      <w:pPr>
        <w:pStyle w:val="Reference"/>
        <w:rPr>
          <w:rFonts w:ascii="Arial" w:hAnsi="Arial" w:cs="Arial"/>
          <w:sz w:val="20"/>
          <w:szCs w:val="20"/>
        </w:rPr>
      </w:pPr>
      <w:bookmarkStart w:id="4" w:name="_Ref24039825"/>
      <w:r w:rsidRPr="00470BB8">
        <w:rPr>
          <w:rFonts w:ascii="Arial" w:hAnsi="Arial" w:cs="Arial"/>
          <w:sz w:val="20"/>
          <w:szCs w:val="20"/>
        </w:rPr>
        <w:t>Draft report of 3GPP TSG RAN WG2 meeting #107.</w:t>
      </w:r>
      <w:bookmarkEnd w:id="4"/>
    </w:p>
    <w:p w14:paraId="5357AE08" w14:textId="77777777" w:rsidR="00470BB8" w:rsidRPr="00470BB8" w:rsidRDefault="00470BB8" w:rsidP="00470BB8">
      <w:pPr>
        <w:pStyle w:val="Reference"/>
        <w:rPr>
          <w:rFonts w:ascii="Arial" w:hAnsi="Arial" w:cs="Arial"/>
          <w:sz w:val="20"/>
          <w:szCs w:val="20"/>
        </w:rPr>
      </w:pPr>
      <w:bookmarkStart w:id="5" w:name="_Ref24039854"/>
      <w:r w:rsidRPr="00470BB8">
        <w:rPr>
          <w:rFonts w:ascii="Arial" w:hAnsi="Arial" w:cs="Arial"/>
          <w:sz w:val="20"/>
          <w:szCs w:val="20"/>
        </w:rPr>
        <w:t>R1-1909954, LS on additional PDCCH monitoring occasions for paging for NR-U, ZTE.</w:t>
      </w:r>
      <w:bookmarkEnd w:id="5"/>
    </w:p>
    <w:p w14:paraId="65BC589F" w14:textId="77777777" w:rsidR="00470BB8" w:rsidRPr="00470BB8" w:rsidRDefault="00470BB8" w:rsidP="00470BB8">
      <w:pPr>
        <w:pStyle w:val="Reference"/>
        <w:rPr>
          <w:rFonts w:ascii="Arial" w:hAnsi="Arial" w:cs="Arial"/>
          <w:sz w:val="20"/>
          <w:szCs w:val="20"/>
        </w:rPr>
      </w:pPr>
      <w:bookmarkStart w:id="6" w:name="_Ref24040143"/>
      <w:r w:rsidRPr="00470BB8">
        <w:rPr>
          <w:rFonts w:ascii="Arial" w:hAnsi="Arial" w:cs="Arial"/>
          <w:sz w:val="20"/>
          <w:szCs w:val="20"/>
        </w:rPr>
        <w:t>Draft Report of 3GPP TSG RAN WG1 #98bis, v0.1.0.</w:t>
      </w:r>
      <w:bookmarkEnd w:id="6"/>
    </w:p>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687A2" w14:textId="77777777" w:rsidR="002C6678" w:rsidRDefault="002C6678" w:rsidP="00BD754F">
      <w:pPr>
        <w:spacing w:after="0"/>
      </w:pPr>
      <w:r>
        <w:separator/>
      </w:r>
    </w:p>
  </w:endnote>
  <w:endnote w:type="continuationSeparator" w:id="0">
    <w:p w14:paraId="7A59DADE" w14:textId="77777777" w:rsidR="002C6678" w:rsidRDefault="002C667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065A6A" w:rsidRDefault="00065A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065A6A" w:rsidRDefault="00065A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065A6A" w:rsidRDefault="00065A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150D4" w14:textId="77777777" w:rsidR="002C6678" w:rsidRDefault="002C6678" w:rsidP="00BD754F">
      <w:pPr>
        <w:spacing w:after="0"/>
      </w:pPr>
      <w:r>
        <w:separator/>
      </w:r>
    </w:p>
  </w:footnote>
  <w:footnote w:type="continuationSeparator" w:id="0">
    <w:p w14:paraId="33ABE8CF" w14:textId="77777777" w:rsidR="002C6678" w:rsidRDefault="002C6678"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065A6A" w:rsidRDefault="00065A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065A6A" w:rsidRDefault="00065A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065A6A" w:rsidRDefault="00065A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6"/>
  </w:num>
  <w:num w:numId="3">
    <w:abstractNumId w:val="6"/>
  </w:num>
  <w:num w:numId="4">
    <w:abstractNumId w:val="7"/>
  </w:num>
  <w:num w:numId="5">
    <w:abstractNumId w:val="4"/>
  </w:num>
  <w:num w:numId="6">
    <w:abstractNumId w:val="9"/>
  </w:num>
  <w:num w:numId="7">
    <w:abstractNumId w:val="8"/>
  </w:num>
  <w:num w:numId="8">
    <w:abstractNumId w:val="14"/>
  </w:num>
  <w:num w:numId="9">
    <w:abstractNumId w:val="1"/>
  </w:num>
  <w:num w:numId="10">
    <w:abstractNumId w:val="11"/>
  </w:num>
  <w:num w:numId="11">
    <w:abstractNumId w:val="5"/>
  </w:num>
  <w:num w:numId="12">
    <w:abstractNumId w:val="3"/>
  </w:num>
  <w:num w:numId="13">
    <w:abstractNumId w:val="10"/>
  </w:num>
  <w:num w:numId="14">
    <w:abstractNumId w:val="17"/>
  </w:num>
  <w:num w:numId="15">
    <w:abstractNumId w:val="15"/>
  </w:num>
  <w:num w:numId="16">
    <w:abstractNumId w:val="13"/>
  </w:num>
  <w:num w:numId="17">
    <w:abstractNumId w:val="2"/>
  </w:num>
  <w:num w:numId="1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3BA7"/>
    <w:rsid w:val="00064234"/>
    <w:rsid w:val="00065A6A"/>
    <w:rsid w:val="000675BC"/>
    <w:rsid w:val="00071FCC"/>
    <w:rsid w:val="0007366D"/>
    <w:rsid w:val="00073B0C"/>
    <w:rsid w:val="00073BD0"/>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3D54"/>
    <w:rsid w:val="000E66E5"/>
    <w:rsid w:val="000E784F"/>
    <w:rsid w:val="000F3B7C"/>
    <w:rsid w:val="000F4170"/>
    <w:rsid w:val="000F42B1"/>
    <w:rsid w:val="00100B7F"/>
    <w:rsid w:val="00101F47"/>
    <w:rsid w:val="001033E8"/>
    <w:rsid w:val="00105E7C"/>
    <w:rsid w:val="00110CDE"/>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DC2"/>
    <w:rsid w:val="003113E7"/>
    <w:rsid w:val="00311810"/>
    <w:rsid w:val="00312695"/>
    <w:rsid w:val="003138D4"/>
    <w:rsid w:val="00314CD6"/>
    <w:rsid w:val="00315801"/>
    <w:rsid w:val="0031695B"/>
    <w:rsid w:val="00320C31"/>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901E3"/>
    <w:rsid w:val="0049088A"/>
    <w:rsid w:val="0049143A"/>
    <w:rsid w:val="004918F0"/>
    <w:rsid w:val="00491F5D"/>
    <w:rsid w:val="00492ECE"/>
    <w:rsid w:val="0049305F"/>
    <w:rsid w:val="004A0D52"/>
    <w:rsid w:val="004A1C70"/>
    <w:rsid w:val="004A1C90"/>
    <w:rsid w:val="004A2F5E"/>
    <w:rsid w:val="004B0319"/>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630A"/>
    <w:rsid w:val="004F1F89"/>
    <w:rsid w:val="004F21E5"/>
    <w:rsid w:val="004F2212"/>
    <w:rsid w:val="004F44C5"/>
    <w:rsid w:val="004F466B"/>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5D7B"/>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30C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342B"/>
    <w:rsid w:val="007351A4"/>
    <w:rsid w:val="0074119A"/>
    <w:rsid w:val="007420B5"/>
    <w:rsid w:val="00742B87"/>
    <w:rsid w:val="00743060"/>
    <w:rsid w:val="00743F36"/>
    <w:rsid w:val="00745438"/>
    <w:rsid w:val="0074543C"/>
    <w:rsid w:val="00745A07"/>
    <w:rsid w:val="00750AA0"/>
    <w:rsid w:val="00753587"/>
    <w:rsid w:val="00754881"/>
    <w:rsid w:val="00756132"/>
    <w:rsid w:val="00757514"/>
    <w:rsid w:val="00761126"/>
    <w:rsid w:val="007612D6"/>
    <w:rsid w:val="007628F4"/>
    <w:rsid w:val="007629A6"/>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66E3"/>
    <w:rsid w:val="008071DF"/>
    <w:rsid w:val="008107E6"/>
    <w:rsid w:val="00811490"/>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F16CE"/>
    <w:rsid w:val="008F251D"/>
    <w:rsid w:val="008F348C"/>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675"/>
    <w:rsid w:val="009375D8"/>
    <w:rsid w:val="009375F2"/>
    <w:rsid w:val="00940BAC"/>
    <w:rsid w:val="00941315"/>
    <w:rsid w:val="009427F6"/>
    <w:rsid w:val="0094700E"/>
    <w:rsid w:val="009510F5"/>
    <w:rsid w:val="00951E4D"/>
    <w:rsid w:val="00956BA5"/>
    <w:rsid w:val="00957D25"/>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424"/>
    <w:rsid w:val="009B0EB7"/>
    <w:rsid w:val="009B5EB3"/>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F0563"/>
    <w:rsid w:val="00AF1407"/>
    <w:rsid w:val="00AF1D4E"/>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6D1B"/>
    <w:rsid w:val="00EE7035"/>
    <w:rsid w:val="00EE75F7"/>
    <w:rsid w:val="00EF117A"/>
    <w:rsid w:val="00EF332D"/>
    <w:rsid w:val="00EF3E4E"/>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E5E2-EB41-47FA-B335-0D253244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762</Words>
  <Characters>4349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2019-11-08T01:21:00Z</dcterms:created>
  <dcterms:modified xsi:type="dcterms:W3CDTF">2019-11-08T04:07:00Z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